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66" w:rsidRPr="00057420" w:rsidRDefault="00980866" w:rsidP="00057420">
      <w:pPr>
        <w:pStyle w:val="NoSpacing"/>
        <w:jc w:val="center"/>
        <w:rPr>
          <w:rFonts w:ascii="Arial Black" w:hAnsi="Arial Black"/>
          <w:sz w:val="28"/>
          <w:szCs w:val="28"/>
          <w:lang w:val="bg-BG"/>
        </w:rPr>
      </w:pPr>
      <w:r w:rsidRPr="00057420">
        <w:rPr>
          <w:rFonts w:ascii="Arial Black" w:hAnsi="Arial Black"/>
          <w:sz w:val="28"/>
          <w:szCs w:val="28"/>
        </w:rPr>
        <w:t xml:space="preserve">ISO/IEC 20000-1 - </w:t>
      </w:r>
      <w:r w:rsidRPr="00057420">
        <w:rPr>
          <w:rFonts w:ascii="Arial Black" w:eastAsia="MS Mincho" w:hAnsi="Arial Black"/>
          <w:bCs/>
          <w:sz w:val="28"/>
          <w:szCs w:val="28"/>
          <w:lang w:val="bg-BG"/>
        </w:rPr>
        <w:t>Информационни технологии — Управление на услуги —</w:t>
      </w:r>
      <w:r w:rsidRPr="00057420">
        <w:rPr>
          <w:rFonts w:ascii="Arial Black" w:hAnsi="Arial Black"/>
          <w:sz w:val="28"/>
          <w:szCs w:val="28"/>
          <w:lang w:val="bg-BG"/>
        </w:rPr>
        <w:t>Част 1: Изисквания към системите за управление на услуги (СУУ)</w:t>
      </w:r>
    </w:p>
    <w:p w:rsidR="008D551D" w:rsidRDefault="008D551D" w:rsidP="003F4C33"/>
    <w:p w:rsidR="00980866" w:rsidRPr="0089371E" w:rsidRDefault="0013429B" w:rsidP="0089371E">
      <w:pPr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Изисква</w:t>
      </w:r>
      <w:r w:rsidR="00980866" w:rsidRPr="0089371E">
        <w:rPr>
          <w:rFonts w:ascii="Arial Narrow" w:hAnsi="Arial Narrow" w:cs="Arial"/>
          <w:b/>
          <w:sz w:val="28"/>
          <w:szCs w:val="28"/>
          <w:lang w:val="bg-BG"/>
        </w:rPr>
        <w:t xml:space="preserve">ния към 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документалната част </w:t>
      </w:r>
      <w:r w:rsidR="00980866" w:rsidRPr="0089371E">
        <w:rPr>
          <w:rFonts w:ascii="Arial Narrow" w:hAnsi="Arial Narrow" w:cs="Arial"/>
          <w:b/>
          <w:sz w:val="28"/>
          <w:szCs w:val="28"/>
          <w:lang w:val="bg-BG"/>
        </w:rPr>
        <w:t>на СУУ</w:t>
      </w:r>
    </w:p>
    <w:p w:rsidR="007D2339" w:rsidRPr="0089371E" w:rsidRDefault="00980866" w:rsidP="0089371E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89371E">
        <w:rPr>
          <w:rFonts w:ascii="Arial Narrow" w:hAnsi="Arial Narrow" w:cs="Arial"/>
          <w:sz w:val="24"/>
          <w:szCs w:val="24"/>
          <w:lang w:val="bg-BG"/>
        </w:rPr>
        <w:t xml:space="preserve">В следващата таблица са показани </w:t>
      </w:r>
      <w:r w:rsidRPr="0089371E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изискващите се от </w:t>
      </w:r>
      <w:r w:rsidRPr="0089371E">
        <w:rPr>
          <w:rFonts w:ascii="Arial Narrow" w:hAnsi="Arial Narrow" w:cs="Arial"/>
          <w:b/>
          <w:sz w:val="24"/>
          <w:szCs w:val="24"/>
          <w:u w:val="single"/>
        </w:rPr>
        <w:t xml:space="preserve">ISO 20000-1 </w:t>
      </w:r>
      <w:r w:rsidRPr="0089371E">
        <w:rPr>
          <w:rFonts w:ascii="Arial Narrow" w:hAnsi="Arial Narrow" w:cs="Arial"/>
          <w:b/>
          <w:sz w:val="24"/>
          <w:szCs w:val="24"/>
          <w:u w:val="single"/>
          <w:lang w:val="bg-BG"/>
        </w:rPr>
        <w:t>документи</w:t>
      </w:r>
      <w:r w:rsidR="0013429B" w:rsidRPr="0013429B">
        <w:rPr>
          <w:rFonts w:ascii="Arial Narrow" w:hAnsi="Arial Narrow" w:cs="Arial"/>
          <w:sz w:val="24"/>
          <w:szCs w:val="24"/>
          <w:lang w:val="bg-BG"/>
        </w:rPr>
        <w:t>, от</w:t>
      </w:r>
      <w:r w:rsidR="0013429B" w:rsidRPr="0013429B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89371E">
        <w:rPr>
          <w:rFonts w:ascii="Arial Narrow" w:hAnsi="Arial Narrow" w:cs="Arial"/>
          <w:sz w:val="24"/>
          <w:szCs w:val="24"/>
          <w:lang w:val="bg-BG"/>
        </w:rPr>
        <w:t>състава</w:t>
      </w:r>
      <w:r w:rsidR="0089371E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89371E">
        <w:rPr>
          <w:rFonts w:ascii="Arial Narrow" w:hAnsi="Arial Narrow" w:cs="Arial"/>
          <w:sz w:val="24"/>
          <w:szCs w:val="24"/>
          <w:lang w:val="bg-BG"/>
        </w:rPr>
        <w:t>на СУУ.</w:t>
      </w:r>
    </w:p>
    <w:tbl>
      <w:tblPr>
        <w:tblStyle w:val="TableGrid"/>
        <w:tblW w:w="10490" w:type="dxa"/>
        <w:tblLook w:val="04A0"/>
      </w:tblPr>
      <w:tblGrid>
        <w:gridCol w:w="817"/>
        <w:gridCol w:w="1701"/>
        <w:gridCol w:w="1593"/>
        <w:gridCol w:w="2552"/>
        <w:gridCol w:w="3827"/>
      </w:tblGrid>
      <w:tr w:rsidR="00DC6384" w:rsidRPr="00DC6384" w:rsidTr="00DC6384">
        <w:tc>
          <w:tcPr>
            <w:tcW w:w="817" w:type="dxa"/>
          </w:tcPr>
          <w:p w:rsidR="00DC6384" w:rsidRPr="00DC6384" w:rsidRDefault="00DC6384" w:rsidP="006D2B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DC6384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1701" w:type="dxa"/>
          </w:tcPr>
          <w:p w:rsidR="00DC6384" w:rsidRPr="00DC6384" w:rsidRDefault="00DC6384" w:rsidP="006D2B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6384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№ на клауза от </w:t>
            </w:r>
            <w:r w:rsidRPr="00DC6384">
              <w:rPr>
                <w:rFonts w:ascii="Arial Narrow" w:hAnsi="Arial Narrow" w:cs="Arial"/>
                <w:b/>
                <w:sz w:val="20"/>
                <w:szCs w:val="20"/>
              </w:rPr>
              <w:t>ISO 20000-1</w:t>
            </w:r>
          </w:p>
        </w:tc>
        <w:tc>
          <w:tcPr>
            <w:tcW w:w="1593" w:type="dxa"/>
          </w:tcPr>
          <w:p w:rsidR="00DC6384" w:rsidRPr="00DC6384" w:rsidRDefault="00DC6384" w:rsidP="006D2B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DC6384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Тип на документа</w:t>
            </w:r>
          </w:p>
        </w:tc>
        <w:tc>
          <w:tcPr>
            <w:tcW w:w="2552" w:type="dxa"/>
          </w:tcPr>
          <w:p w:rsidR="00DC6384" w:rsidRPr="00DC6384" w:rsidRDefault="00DC6384" w:rsidP="006D2B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DC6384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Наименование на документа</w:t>
            </w:r>
          </w:p>
        </w:tc>
        <w:tc>
          <w:tcPr>
            <w:tcW w:w="3827" w:type="dxa"/>
          </w:tcPr>
          <w:p w:rsidR="00DC6384" w:rsidRPr="00DC6384" w:rsidRDefault="00DC6384" w:rsidP="006D2B5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DC6384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</w:rPr>
              <w:t>4.1.1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/ 4.1.2</w:t>
            </w:r>
          </w:p>
        </w:tc>
        <w:tc>
          <w:tcPr>
            <w:tcW w:w="1593" w:type="dxa"/>
          </w:tcPr>
          <w:p w:rsidR="00DC6384" w:rsidRPr="0089371E" w:rsidRDefault="00DC6384" w:rsidP="00B56E93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Политика </w:t>
            </w:r>
          </w:p>
        </w:tc>
        <w:tc>
          <w:tcPr>
            <w:tcW w:w="2552" w:type="dxa"/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управление на услуга</w:t>
            </w:r>
          </w:p>
          <w:p w:rsidR="00DC6384" w:rsidRPr="0089371E" w:rsidRDefault="00DC6384" w:rsidP="006D2B50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AD772B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Обикновено тази политика е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съставна част от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u w:val="single"/>
                <w:lang w:val="bg-BG"/>
              </w:rPr>
              <w:t>Плана за управление на услугата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u w:val="single"/>
                <w:lang w:val="bg-BG"/>
              </w:rPr>
              <w:t>,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 заедно с целите за управлението на услугата</w:t>
            </w:r>
          </w:p>
          <w:p w:rsidR="00DC6384" w:rsidRPr="0089371E" w:rsidRDefault="00DC6384" w:rsidP="00AD772B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Pr="0089371E" w:rsidRDefault="00DC6384" w:rsidP="00AD772B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  <w:p w:rsidR="00DC6384" w:rsidRPr="0089371E" w:rsidRDefault="00DC6384" w:rsidP="00AD772B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2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4.5.5.1</w:t>
            </w:r>
          </w:p>
        </w:tc>
        <w:tc>
          <w:tcPr>
            <w:tcW w:w="1593" w:type="dxa"/>
          </w:tcPr>
          <w:p w:rsidR="00DC6384" w:rsidRPr="0089371E" w:rsidRDefault="00DC6384" w:rsidP="00B56E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Политика </w:t>
            </w:r>
          </w:p>
        </w:tc>
        <w:tc>
          <w:tcPr>
            <w:tcW w:w="2552" w:type="dxa"/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непрекъснато подобряване на СУУ и на услугите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Определя критериите за оценка на възможностите за подобряване на СУУ. Политиката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 xml:space="preserve">може да бъде документирана в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u w:val="single"/>
                <w:lang w:val="bg-BG"/>
              </w:rPr>
              <w:t>Плана за управление на услугата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 или в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u w:val="single"/>
                <w:lang w:val="bg-BG"/>
              </w:rPr>
              <w:t>Процедурата за управление на подобренията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.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Pr="0089371E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6.4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Политика</w:t>
            </w:r>
          </w:p>
        </w:tc>
        <w:tc>
          <w:tcPr>
            <w:tcW w:w="2552" w:type="dxa"/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бюджетиране и счетоводство на финансовите средства за услугите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Тези политики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обикновено произтичат от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  <w:t>финансовите политики на организацията, доставчик на услуги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. Обикновено те се документират в процеса на бюджетиране и счетоводство на услугата.</w:t>
            </w:r>
          </w:p>
          <w:p w:rsidR="00DC6384" w:rsidRPr="0089371E" w:rsidRDefault="00DC6384" w:rsidP="005A33B9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  <w:p w:rsidR="00DC6384" w:rsidRPr="0089371E" w:rsidRDefault="00DC6384" w:rsidP="005A33B9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6.6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Политика</w:t>
            </w:r>
          </w:p>
        </w:tc>
        <w:tc>
          <w:tcPr>
            <w:tcW w:w="2552" w:type="dxa"/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информационна сигурност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Тази политика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може да се документира в процеса на управление на информационната сигурност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 (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ISO 27001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) и/или в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u w:val="single"/>
                <w:lang w:val="bg-BG"/>
              </w:rPr>
              <w:t>Плана за управление на услугата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, заедно с целите за информационна сигурност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Политика</w:t>
            </w:r>
          </w:p>
        </w:tc>
        <w:tc>
          <w:tcPr>
            <w:tcW w:w="2552" w:type="dxa"/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промени в управлението на услугите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037A1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Тази политика определя, какво е под контрола на уп</w:t>
            </w:r>
            <w:r w:rsidR="0089371E">
              <w:rPr>
                <w:rFonts w:ascii="Arial Narrow" w:hAnsi="Arial Narrow" w:cs="Arial"/>
                <w:sz w:val="20"/>
                <w:szCs w:val="20"/>
                <w:lang w:val="bg-BG"/>
              </w:rPr>
              <w:t>р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авлението на промените, а също и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критериите за определяне на промени, които ще имат значително влияние върху услугата и/или нейния потребител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. Критериите ще се използват за определянето на промените, които ще се управляват чрез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клауза 5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на </w:t>
            </w:r>
            <w:r w:rsidRPr="0089371E">
              <w:rPr>
                <w:rFonts w:ascii="Arial Narrow" w:hAnsi="Arial Narrow" w:cs="Arial"/>
                <w:sz w:val="20"/>
                <w:szCs w:val="20"/>
              </w:rPr>
              <w:t>ISO 20000-1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(разработване и прехода на/към нов или променен процес за предоставяне на услугата). Политиката може да бъдедокументирана в процеса на управление на промените и/или в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  <w:t xml:space="preserve">Плана за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  <w:lastRenderedPageBreak/>
              <w:t>управление на услугата</w:t>
            </w:r>
          </w:p>
          <w:p w:rsidR="00DC6384" w:rsidRPr="0089371E" w:rsidRDefault="00DC6384" w:rsidP="00037A1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</w:pPr>
          </w:p>
          <w:p w:rsidR="00DC6384" w:rsidRPr="0089371E" w:rsidRDefault="00DC6384" w:rsidP="00037A16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  <w:p w:rsidR="00DC6384" w:rsidRPr="0089371E" w:rsidRDefault="00DC6384" w:rsidP="00037A16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</w:rPr>
              <w:t>9.3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Политика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384" w:rsidRPr="0089371E" w:rsidRDefault="00DC6384" w:rsidP="006D2B50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Политика за пускане в действие на услуга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6384" w:rsidRPr="0089371E" w:rsidRDefault="00DC6384" w:rsidP="005A33B9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Тази политика може да бъде документирана в процеса на управление на пускането на услугата и/или в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  <w:t>Плана за управление на услугата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. 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Политиката описва начина  на пускане в действие на услугата.</w:t>
            </w: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 xml:space="preserve"> </w:t>
            </w:r>
          </w:p>
          <w:p w:rsidR="00DC6384" w:rsidRPr="0089371E" w:rsidRDefault="00DC6384" w:rsidP="005A33B9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  <w:p w:rsidR="00DC6384" w:rsidRPr="0089371E" w:rsidRDefault="00DC6384" w:rsidP="005A33B9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политика за всички услуги</w:t>
            </w:r>
          </w:p>
          <w:p w:rsidR="00DC6384" w:rsidRPr="0089371E" w:rsidRDefault="00DC6384" w:rsidP="00B66259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7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4.1.1, 4.5.2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управление на услуга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Плана включва и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обхвата на СУУ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(4.5.1)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Pr="0089371E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6.3.2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bg-BG"/>
              </w:rPr>
              <w:t>План за непрекъснатост на услуга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6.3.2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bg-BG"/>
              </w:rPr>
              <w:t>План  за наличност ан услуга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Плановете за непрекъснатост и наличност на услугатта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могат да бъдат обединени или представени в отделни документи.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  <w:p w:rsidR="0089371E" w:rsidRPr="0089371E" w:rsidRDefault="0089371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10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6.5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на капацитета на услуга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11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4.5.5.2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одит (програма за одит)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Този План (програма) включва критерии, честота </w:t>
            </w:r>
            <w:r w:rsid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и 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методите за одитиране. Документират се и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целите на вътрешните одити и прегледите от ръководството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  <w:p w:rsidR="00DC6384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Общ  План за одит (Програма)</w:t>
            </w:r>
          </w:p>
          <w:p w:rsidR="0089371E" w:rsidRPr="0089371E" w:rsidRDefault="0089371E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12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4.5.5.2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C3D9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въвеждане на подобрения</w:t>
            </w:r>
          </w:p>
          <w:p w:rsidR="00DC6384" w:rsidRPr="0089371E" w:rsidRDefault="00DC6384" w:rsidP="008C3D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Този План се разработва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 всяко отделно подобрение</w:t>
            </w: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на услугата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</w:p>
          <w:p w:rsidR="00DC6384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  <w:p w:rsidR="0089371E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13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5.2 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</w:tcPr>
          <w:p w:rsidR="00DC6384" w:rsidRPr="0089371E" w:rsidRDefault="00DC6384" w:rsidP="0089371E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променени или нови услуги</w:t>
            </w: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Този План се разработва за всяка нова или променена услуга. За отпадналите услуги се разработва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отпадане / прекратяване на услуга.</w:t>
            </w:r>
          </w:p>
          <w:p w:rsidR="00DC6384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  <w:p w:rsidR="0089371E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89371E">
        <w:tc>
          <w:tcPr>
            <w:tcW w:w="817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9.3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План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 за пускане в действие на услуга</w:t>
            </w:r>
          </w:p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Такъв План се разработва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всяко отделно пускане </w:t>
            </w:r>
            <w:r w:rsid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в действие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на услуга</w:t>
            </w:r>
          </w:p>
          <w:p w:rsidR="00DC6384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По един План за всяка услуга</w:t>
            </w:r>
          </w:p>
          <w:p w:rsidR="0089371E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DC6384" w:rsidRPr="0089371E" w:rsidTr="0089371E">
        <w:tc>
          <w:tcPr>
            <w:tcW w:w="817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3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  <w:shd w:val="pct25" w:color="auto" w:fill="auto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15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EB5EAE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Процедура за комуникации</w:t>
            </w:r>
          </w:p>
          <w:p w:rsidR="0089371E" w:rsidRPr="0089371E" w:rsidRDefault="0089371E" w:rsidP="0089371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16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Контрол на документите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17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Контрол на записите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18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Планиране и провеждане на одити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19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подобренията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20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Default="00DC6384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Доставка на нови или променени услуги</w:t>
            </w:r>
          </w:p>
          <w:p w:rsidR="002D66CF" w:rsidRPr="0089371E" w:rsidRDefault="002D66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Поддръжка на бюджета за осигуряване на процесите, свързани с услугите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21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392F6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bg-BG"/>
              </w:rPr>
              <w:t>Действия в случаи на загуба на услуги (обслужване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)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95CCE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Тези процедури може да са част от 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Плана за непрекъснатост на услугите</w:t>
            </w:r>
          </w:p>
          <w:p w:rsidR="00DC6384" w:rsidRPr="0089371E" w:rsidRDefault="00DC6384" w:rsidP="00C95CC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22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Осигуряване на провеждането на предварителен анализ на капацитета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23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жалбите, свързани с предоставянето на услуги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24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 Управление на разногласията / дискусиите по договорите за предоставяне на услуги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25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инцидентите – от тяхното регистриране до приключването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26</w:t>
            </w:r>
          </w:p>
        </w:tc>
        <w:tc>
          <w:tcPr>
            <w:tcW w:w="1701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базови / големи инциденти</w:t>
            </w:r>
          </w:p>
          <w:p w:rsidR="00DC6384" w:rsidRPr="0089371E" w:rsidRDefault="00DC638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27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изпълнението на искане / заявка за услуга - от регистриране до приключването</w:t>
            </w:r>
          </w:p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28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Идентифициране на проблеми и минимизиране, или избягване вредното влияние на инциденти и/или проблеми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29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Запис, контрол и проследяване на конфигурацията на услугите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lastRenderedPageBreak/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30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Запис, класифициране, оценяване и одобряване на искания за промени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31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спешни промени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89371E">
        <w:tc>
          <w:tcPr>
            <w:tcW w:w="817" w:type="dxa"/>
            <w:tcBorders>
              <w:bottom w:val="single" w:sz="4" w:space="0" w:color="auto"/>
            </w:tcBorders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Процедура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384" w:rsidRPr="0089371E" w:rsidRDefault="00DC6384" w:rsidP="008134EB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Управление на спешно пуснати услуги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Една обща за всички услуги</w:t>
            </w:r>
          </w:p>
        </w:tc>
      </w:tr>
      <w:tr w:rsidR="00DC6384" w:rsidRPr="0089371E" w:rsidTr="0089371E">
        <w:tc>
          <w:tcPr>
            <w:tcW w:w="817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3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33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7.1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Определение</w:t>
            </w:r>
          </w:p>
        </w:tc>
        <w:tc>
          <w:tcPr>
            <w:tcW w:w="2552" w:type="dxa"/>
          </w:tcPr>
          <w:p w:rsidR="00DC6384" w:rsidRPr="0089371E" w:rsidRDefault="00DC6384" w:rsidP="00293374">
            <w:pPr>
              <w:shd w:val="clear" w:color="auto" w:fill="FFFFFF"/>
              <w:spacing w:after="225" w:line="225" w:lineRule="atLeast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Свързани с услугата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Обикновено се дефинира в СНУ 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(SLA)</w:t>
            </w:r>
          </w:p>
          <w:p w:rsidR="00DC6384" w:rsidRPr="0089371E" w:rsidRDefault="00DC6384" w:rsidP="00FE42A2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 xml:space="preserve">За всяка услуга 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34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8.1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Определение</w:t>
            </w:r>
          </w:p>
        </w:tc>
        <w:tc>
          <w:tcPr>
            <w:tcW w:w="2552" w:type="dxa"/>
          </w:tcPr>
          <w:p w:rsidR="00DC6384" w:rsidRPr="0089371E" w:rsidRDefault="00DC6384" w:rsidP="00293374">
            <w:pPr>
              <w:shd w:val="clear" w:color="auto" w:fill="FFFFFF"/>
              <w:spacing w:after="225" w:line="225" w:lineRule="atLeast"/>
              <w:textAlignment w:val="baseline"/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Основен инцидент (голям)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Обикновено се дефинира в СНУ 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(SLA)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35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Определение</w:t>
            </w:r>
          </w:p>
        </w:tc>
        <w:tc>
          <w:tcPr>
            <w:tcW w:w="2552" w:type="dxa"/>
          </w:tcPr>
          <w:p w:rsidR="00DC6384" w:rsidRPr="0089371E" w:rsidRDefault="00DC6384" w:rsidP="00293374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Типовете ЕК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</w:rPr>
              <w:t xml:space="preserve"> </w:t>
            </w: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(елемент от конфигурацията)</w:t>
            </w: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 xml:space="preserve"> </w:t>
            </w:r>
          </w:p>
          <w:p w:rsidR="00DC6384" w:rsidRPr="0089371E" w:rsidRDefault="00DC6384" w:rsidP="00293374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Обикновено се определя в процеса на управление на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 xml:space="preserve"> 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конфигурацията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36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9.2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Определение</w:t>
            </w:r>
          </w:p>
        </w:tc>
        <w:tc>
          <w:tcPr>
            <w:tcW w:w="2552" w:type="dxa"/>
          </w:tcPr>
          <w:p w:rsidR="00DC6384" w:rsidRPr="0089371E" w:rsidRDefault="00DC6384" w:rsidP="00293374">
            <w:pPr>
              <w:shd w:val="clear" w:color="auto" w:fill="FFFFFF"/>
              <w:spacing w:after="225" w:line="225" w:lineRule="atLeast"/>
              <w:textAlignment w:val="baseline"/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Спешна промяна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 xml:space="preserve">Обикновено се дефинира в СНУ 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(SLA)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</w:tc>
      </w:tr>
      <w:tr w:rsidR="00DC6384" w:rsidRPr="0089371E" w:rsidTr="0089371E">
        <w:tc>
          <w:tcPr>
            <w:tcW w:w="817" w:type="dxa"/>
            <w:tcBorders>
              <w:bottom w:val="single" w:sz="4" w:space="0" w:color="auto"/>
            </w:tcBorders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9.3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6384" w:rsidRPr="0089371E" w:rsidRDefault="00DC6384" w:rsidP="002D66CF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51555C"/>
                <w:sz w:val="20"/>
                <w:szCs w:val="20"/>
                <w:lang w:val="bg-BG"/>
              </w:rPr>
              <w:t>Спешно пускане (на услуга)</w:t>
            </w: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Обикновано се дефинира в съгласие с определението на спешна промяна.</w:t>
            </w:r>
          </w:p>
          <w:p w:rsidR="00DC6384" w:rsidRDefault="00DC6384" w:rsidP="007E4CFB">
            <w:pPr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  <w:p w:rsidR="002D66CF" w:rsidRPr="0089371E" w:rsidRDefault="002D66CF" w:rsidP="007E4C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89371E">
        <w:tc>
          <w:tcPr>
            <w:tcW w:w="817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3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shd w:val="pct25" w:color="auto" w:fill="auto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38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4.1.4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Други 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Изисквания към услугите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39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4.3.1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Каталог на услугите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Общ документ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40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4.3.2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6.1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Споразумения за ниво на доставка на услугите (</w:t>
            </w:r>
            <w:r w:rsidRPr="0089371E">
              <w:rPr>
                <w:rFonts w:ascii="Arial Narrow" w:hAnsi="Arial Narrow" w:cs="Arial"/>
                <w:b/>
                <w:sz w:val="20"/>
                <w:szCs w:val="20"/>
              </w:rPr>
              <w:t>SLA)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всяка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41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Споразумения, свързани с услугите (оперативни споразумения)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b/>
                <w:noProof w:val="0"/>
                <w:color w:val="C00000"/>
                <w:sz w:val="20"/>
                <w:szCs w:val="20"/>
                <w:lang w:val="bg-BG"/>
              </w:rPr>
              <w:t>За услуги, които се изпълняват и от поддоставчици.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42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6.2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Описание на всеки доклад, свързан с услуга – вкл. идентичност, цел, аудитория, честота и подробности за източника на данни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Общ документ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43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6.3.1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Рискове към непрекъснатостта на услугата и нейната наличност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344D19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Общ документ за определяне на рисковете към услугите (техните основни параметри за наличност, непрекъснатост и /или достъпност)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  <w:lang w:val="bg-BG"/>
              </w:rPr>
              <w:t>44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eastAsia="Times New Roman" w:hAnsi="Arial Narrow" w:cs="Helvetica"/>
                <w:noProof w:val="0"/>
                <w:color w:val="51555C"/>
                <w:sz w:val="20"/>
                <w:szCs w:val="20"/>
              </w:rPr>
              <w:t>4.5.5.1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Възможности за подобрения на услуга, вкл.корективни и превантивни действия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lastRenderedPageBreak/>
              <w:t>Общ документ за всички услуги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45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5.3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Проект за всяка  нова  или променена услуга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За всяка отделна услуга – проект (от 9001) и допълнително за някои елементите на обслужването.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46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6.6.2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6.6.3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Контролни / защитни механизми за информационна сигурност на услугите  - на база установените вътрешни и външни рискове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За всяка отделна услуга – проект (от 27001) и допълнително за някои елементите на обслужването.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47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7.1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Описание на всички страни, имащи оношение към услугите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За всяка отделна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48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7.2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Договори за доставка на услуги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За всяка отделна услуга</w:t>
            </w:r>
          </w:p>
        </w:tc>
      </w:tr>
      <w:tr w:rsidR="00DC6384" w:rsidRPr="0089371E" w:rsidTr="00DC6384">
        <w:tc>
          <w:tcPr>
            <w:tcW w:w="817" w:type="dxa"/>
          </w:tcPr>
          <w:p w:rsidR="00DC6384" w:rsidRPr="0089371E" w:rsidRDefault="0089371E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49</w:t>
            </w:r>
          </w:p>
        </w:tc>
        <w:tc>
          <w:tcPr>
            <w:tcW w:w="1701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7.2</w:t>
            </w:r>
          </w:p>
        </w:tc>
        <w:tc>
          <w:tcPr>
            <w:tcW w:w="1593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sz w:val="20"/>
                <w:szCs w:val="20"/>
                <w:lang w:val="bg-BG"/>
              </w:rPr>
              <w:t>Други</w:t>
            </w:r>
          </w:p>
        </w:tc>
        <w:tc>
          <w:tcPr>
            <w:tcW w:w="2552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89371E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Функции и взаимоотношения между водещите доставчици на услуги и техните подизпълнители</w:t>
            </w:r>
          </w:p>
          <w:p w:rsidR="00DC6384" w:rsidRPr="0089371E" w:rsidRDefault="00DC6384" w:rsidP="00CB4F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C6384" w:rsidRPr="0089371E" w:rsidRDefault="00DC6384" w:rsidP="00CB4F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371E">
              <w:rPr>
                <w:rFonts w:ascii="Arial Narrow" w:hAnsi="Arial Narrow" w:cs="Arial"/>
                <w:b/>
                <w:color w:val="C00000"/>
                <w:sz w:val="20"/>
                <w:szCs w:val="20"/>
                <w:lang w:val="bg-BG"/>
              </w:rPr>
              <w:t>За всяка отделна услуга -  както е приложимо</w:t>
            </w:r>
          </w:p>
        </w:tc>
      </w:tr>
    </w:tbl>
    <w:p w:rsidR="007D2339" w:rsidRDefault="007D2339">
      <w:pPr>
        <w:rPr>
          <w:rFonts w:ascii="Arial" w:hAnsi="Arial" w:cs="Arial"/>
          <w:sz w:val="24"/>
          <w:szCs w:val="24"/>
          <w:lang w:val="bg-BG"/>
        </w:rPr>
      </w:pPr>
    </w:p>
    <w:p w:rsidR="0000094D" w:rsidRPr="0000094D" w:rsidRDefault="0000094D">
      <w:pPr>
        <w:rPr>
          <w:rFonts w:ascii="Arial" w:hAnsi="Arial" w:cs="Arial"/>
          <w:sz w:val="24"/>
          <w:szCs w:val="24"/>
          <w:lang w:val="bg-BG"/>
        </w:rPr>
      </w:pPr>
    </w:p>
    <w:sectPr w:rsidR="0000094D" w:rsidRPr="0000094D" w:rsidSect="008D551D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EC" w:rsidRDefault="00D975EC" w:rsidP="00E75463">
      <w:pPr>
        <w:spacing w:after="0" w:line="240" w:lineRule="auto"/>
      </w:pPr>
      <w:r>
        <w:separator/>
      </w:r>
    </w:p>
  </w:endnote>
  <w:endnote w:type="continuationSeparator" w:id="0">
    <w:p w:rsidR="00D975EC" w:rsidRDefault="00D975EC" w:rsidP="00E7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844"/>
      <w:docPartObj>
        <w:docPartGallery w:val="Page Numbers (Bottom of Page)"/>
        <w:docPartUnique/>
      </w:docPartObj>
    </w:sdtPr>
    <w:sdtContent>
      <w:p w:rsidR="007E4CFB" w:rsidRDefault="00A26A0E">
        <w:pPr>
          <w:pStyle w:val="Footer"/>
          <w:jc w:val="right"/>
        </w:pPr>
        <w:fldSimple w:instr=" PAGE   \* MERGEFORMAT ">
          <w:r w:rsidR="0013429B">
            <w:t>1</w:t>
          </w:r>
        </w:fldSimple>
      </w:p>
    </w:sdtContent>
  </w:sdt>
  <w:p w:rsidR="007E4CFB" w:rsidRDefault="007E4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EC" w:rsidRDefault="00D975EC" w:rsidP="00E75463">
      <w:pPr>
        <w:spacing w:after="0" w:line="240" w:lineRule="auto"/>
      </w:pPr>
      <w:r>
        <w:separator/>
      </w:r>
    </w:p>
  </w:footnote>
  <w:footnote w:type="continuationSeparator" w:id="0">
    <w:p w:rsidR="00D975EC" w:rsidRDefault="00D975EC" w:rsidP="00E7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866"/>
    <w:rsid w:val="0000094D"/>
    <w:rsid w:val="00037A16"/>
    <w:rsid w:val="00057420"/>
    <w:rsid w:val="00096039"/>
    <w:rsid w:val="000A21E2"/>
    <w:rsid w:val="000A7304"/>
    <w:rsid w:val="000F0CBA"/>
    <w:rsid w:val="0013429B"/>
    <w:rsid w:val="0016590B"/>
    <w:rsid w:val="00174643"/>
    <w:rsid w:val="001A760B"/>
    <w:rsid w:val="00200CDA"/>
    <w:rsid w:val="00243068"/>
    <w:rsid w:val="00293374"/>
    <w:rsid w:val="002A07A2"/>
    <w:rsid w:val="002B2459"/>
    <w:rsid w:val="002C759F"/>
    <w:rsid w:val="002D3396"/>
    <w:rsid w:val="002D6417"/>
    <w:rsid w:val="002D66CF"/>
    <w:rsid w:val="002E02CE"/>
    <w:rsid w:val="0034195F"/>
    <w:rsid w:val="00392F6B"/>
    <w:rsid w:val="003D597E"/>
    <w:rsid w:val="003F2642"/>
    <w:rsid w:val="003F4C33"/>
    <w:rsid w:val="004204BF"/>
    <w:rsid w:val="00436029"/>
    <w:rsid w:val="004462B5"/>
    <w:rsid w:val="00461BB2"/>
    <w:rsid w:val="004A3B84"/>
    <w:rsid w:val="004C3653"/>
    <w:rsid w:val="004D5BF7"/>
    <w:rsid w:val="00524361"/>
    <w:rsid w:val="00531561"/>
    <w:rsid w:val="005A33B9"/>
    <w:rsid w:val="005B3FA0"/>
    <w:rsid w:val="005F3FAD"/>
    <w:rsid w:val="00670CDB"/>
    <w:rsid w:val="00691407"/>
    <w:rsid w:val="006D2B50"/>
    <w:rsid w:val="006E7033"/>
    <w:rsid w:val="0071227B"/>
    <w:rsid w:val="00732CDB"/>
    <w:rsid w:val="00776468"/>
    <w:rsid w:val="007D2339"/>
    <w:rsid w:val="007E13C6"/>
    <w:rsid w:val="007E4C47"/>
    <w:rsid w:val="007E4CFB"/>
    <w:rsid w:val="008134EB"/>
    <w:rsid w:val="00843282"/>
    <w:rsid w:val="00892576"/>
    <w:rsid w:val="00892DA3"/>
    <w:rsid w:val="0089371E"/>
    <w:rsid w:val="008C3D94"/>
    <w:rsid w:val="008D551D"/>
    <w:rsid w:val="00925947"/>
    <w:rsid w:val="00942846"/>
    <w:rsid w:val="00954A3C"/>
    <w:rsid w:val="0097072A"/>
    <w:rsid w:val="00980866"/>
    <w:rsid w:val="009A29EC"/>
    <w:rsid w:val="00A26755"/>
    <w:rsid w:val="00A26A0E"/>
    <w:rsid w:val="00A30502"/>
    <w:rsid w:val="00A3175E"/>
    <w:rsid w:val="00A3746F"/>
    <w:rsid w:val="00A65170"/>
    <w:rsid w:val="00AC0C31"/>
    <w:rsid w:val="00AD772B"/>
    <w:rsid w:val="00B02011"/>
    <w:rsid w:val="00B15EA9"/>
    <w:rsid w:val="00B26079"/>
    <w:rsid w:val="00B34569"/>
    <w:rsid w:val="00B56E93"/>
    <w:rsid w:val="00B66259"/>
    <w:rsid w:val="00B8119F"/>
    <w:rsid w:val="00B933C6"/>
    <w:rsid w:val="00B973C2"/>
    <w:rsid w:val="00BA2D61"/>
    <w:rsid w:val="00BB3E5E"/>
    <w:rsid w:val="00BC0F0E"/>
    <w:rsid w:val="00BD3AD8"/>
    <w:rsid w:val="00BF40A2"/>
    <w:rsid w:val="00C03D32"/>
    <w:rsid w:val="00C52EFD"/>
    <w:rsid w:val="00C71896"/>
    <w:rsid w:val="00C732B0"/>
    <w:rsid w:val="00C95CCE"/>
    <w:rsid w:val="00CA596B"/>
    <w:rsid w:val="00CB4F9A"/>
    <w:rsid w:val="00CC5A48"/>
    <w:rsid w:val="00D15B9A"/>
    <w:rsid w:val="00D80012"/>
    <w:rsid w:val="00D975EC"/>
    <w:rsid w:val="00DC6384"/>
    <w:rsid w:val="00E12549"/>
    <w:rsid w:val="00E75463"/>
    <w:rsid w:val="00E8652A"/>
    <w:rsid w:val="00EA22C2"/>
    <w:rsid w:val="00EB5EAE"/>
    <w:rsid w:val="00EE6098"/>
    <w:rsid w:val="00EF0DB7"/>
    <w:rsid w:val="00F31E24"/>
    <w:rsid w:val="00F55411"/>
    <w:rsid w:val="00F56F7E"/>
    <w:rsid w:val="00F704ED"/>
    <w:rsid w:val="00FD49CF"/>
    <w:rsid w:val="00F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6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54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46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754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63"/>
    <w:rPr>
      <w:noProof/>
    </w:rPr>
  </w:style>
  <w:style w:type="paragraph" w:styleId="NoSpacing">
    <w:name w:val="No Spacing"/>
    <w:uiPriority w:val="1"/>
    <w:qFormat/>
    <w:rsid w:val="003F4C33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2018-08-26T12:00:00Z</dcterms:created>
  <dcterms:modified xsi:type="dcterms:W3CDTF">2018-08-26T12:23:00Z</dcterms:modified>
</cp:coreProperties>
</file>